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ROSPA0116ZPB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Dorohoi - Șaua Bucecei</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1444757215"/>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745853176"/>
          <w:tag w:val="goog_rdk_1"/>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1139214321"/>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204,33</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0,81%</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RO21</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Nord-Est</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Botoșani, Iași</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854241435"/>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201673309"/>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1559782895"/>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291721779"/>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1849336257"/>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1497722150"/>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8">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w:t>
      </w:r>
    </w:p>
    <w:p w:rsidR="00000000" w:rsidDel="00000000" w:rsidP="00000000" w:rsidRDefault="00000000" w:rsidRPr="00000000" w14:paraId="0000005A">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E">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5F">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4,30</w:t>
      </w:r>
    </w:p>
    <w:p w:rsidR="00000000" w:rsidDel="00000000" w:rsidP="00000000" w:rsidRDefault="00000000" w:rsidRPr="00000000" w14:paraId="00000061">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RONPA0249</w:t>
        <w:tab/>
        <w:t xml:space="preserve">Hotărârea Consiliului Județean Botoșani nr. 5/1995: Arinișul de la Horlăceni;</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RONPA0249 Arinișul de la Horlăceni;</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6">
      <w:pPr>
        <w:spacing w:after="0" w:before="160" w:line="300" w:lineRule="auto"/>
        <w:rPr>
          <w:sz w:val="22"/>
          <w:szCs w:val="22"/>
        </w:rPr>
      </w:pPr>
      <w:r w:rsidDel="00000000" w:rsidR="00000000" w:rsidRPr="00000000">
        <w:rPr>
          <w:rtl w:val="0"/>
        </w:rPr>
      </w:r>
    </w:p>
    <w:p w:rsidR="00000000" w:rsidDel="00000000" w:rsidP="00000000" w:rsidRDefault="00000000" w:rsidRPr="00000000" w14:paraId="00000067">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2676"/>
        <w:gridCol w:w="6288"/>
        <w:tblGridChange w:id="0">
          <w:tblGrid>
            <w:gridCol w:w="2676"/>
            <w:gridCol w:w="628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276" w:lineRule="auto"/>
              <w:rPr>
                <w:sz w:val="22"/>
                <w:szCs w:val="22"/>
              </w:rPr>
            </w:pPr>
            <w:r w:rsidDel="00000000" w:rsidR="00000000" w:rsidRPr="00000000">
              <w:rPr>
                <w:sz w:val="22"/>
                <w:szCs w:val="22"/>
                <w:rtl w:val="0"/>
              </w:rPr>
              <w:t xml:space="preserve">Ecosistem de păduri temperate europene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30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6E">
            <w:pPr>
              <w:spacing w:after="0" w:line="300" w:lineRule="auto"/>
              <w:rPr>
                <w:i w:val="1"/>
                <w:iCs w:val="1"/>
                <w:sz w:val="22"/>
                <w:szCs w:val="22"/>
              </w:rPr>
            </w:pPr>
            <w:r w:rsidDel="00000000" w:rsidR="00000000" w:rsidRPr="00000000">
              <w:rPr>
                <w:i w:val="1"/>
                <w:iCs w:val="1"/>
                <w:sz w:val="22"/>
                <w:szCs w:val="22"/>
                <w:rtl w:val="0"/>
              </w:rPr>
              <w:t xml:space="preserve">A238 Dendrocopos medius </w:t>
              <w:tab/>
            </w:r>
          </w:p>
          <w:p w:rsidR="00000000" w:rsidDel="00000000" w:rsidP="00000000" w:rsidRDefault="00000000" w:rsidRPr="00000000" w14:paraId="0000006F">
            <w:pPr>
              <w:spacing w:after="0" w:line="30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70">
            <w:pPr>
              <w:spacing w:after="0" w:line="300" w:lineRule="auto"/>
              <w:rPr>
                <w:i w:val="1"/>
                <w:iCs w:val="1"/>
                <w:sz w:val="22"/>
                <w:szCs w:val="22"/>
              </w:rPr>
            </w:pPr>
            <w:r w:rsidDel="00000000" w:rsidR="00000000" w:rsidRPr="00000000">
              <w:rPr>
                <w:i w:val="1"/>
                <w:iCs w:val="1"/>
                <w:sz w:val="22"/>
                <w:szCs w:val="22"/>
                <w:rtl w:val="0"/>
              </w:rPr>
              <w:t xml:space="preserve">A321 Ficedulla albicollis</w:t>
            </w:r>
          </w:p>
          <w:p w:rsidR="00000000" w:rsidDel="00000000" w:rsidP="00000000" w:rsidRDefault="00000000" w:rsidRPr="00000000" w14:paraId="00000071">
            <w:pPr>
              <w:spacing w:after="0" w:line="300" w:lineRule="auto"/>
              <w:rPr>
                <w:i w:val="1"/>
                <w:iCs w:val="1"/>
                <w:sz w:val="22"/>
                <w:szCs w:val="22"/>
              </w:rPr>
            </w:pPr>
            <w:r w:rsidDel="00000000" w:rsidR="00000000" w:rsidRPr="00000000">
              <w:rPr>
                <w:i w:val="1"/>
                <w:iCs w:val="1"/>
                <w:sz w:val="22"/>
                <w:szCs w:val="22"/>
                <w:rtl w:val="0"/>
              </w:rPr>
              <w:t xml:space="preserve">A246 Lululla arborea</w:t>
            </w:r>
          </w:p>
          <w:p w:rsidR="00000000" w:rsidDel="00000000" w:rsidP="00000000" w:rsidRDefault="00000000" w:rsidRPr="00000000" w14:paraId="00000072">
            <w:pPr>
              <w:spacing w:after="0" w:line="300" w:lineRule="auto"/>
              <w:rPr>
                <w:i w:val="1"/>
                <w:iCs w:val="1"/>
                <w:sz w:val="22"/>
                <w:szCs w:val="22"/>
              </w:rPr>
            </w:pPr>
            <w:r w:rsidDel="00000000" w:rsidR="00000000" w:rsidRPr="00000000">
              <w:rPr>
                <w:i w:val="1"/>
                <w:iCs w:val="1"/>
                <w:sz w:val="22"/>
                <w:szCs w:val="22"/>
                <w:rtl w:val="0"/>
              </w:rPr>
              <w:t xml:space="preserve">A072 Pernis apivorus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jc w:val="both"/>
              <w:rPr>
                <w:sz w:val="22"/>
                <w:szCs w:val="22"/>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rsidR="00000000" w:rsidDel="00000000" w:rsidP="00000000" w:rsidRDefault="00000000" w:rsidRPr="00000000" w14:paraId="00000075">
            <w:pPr>
              <w:jc w:val="both"/>
              <w:rPr>
                <w:sz w:val="22"/>
                <w:szCs w:val="22"/>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p>
          <w:p w:rsidR="00000000" w:rsidDel="00000000" w:rsidP="00000000" w:rsidRDefault="00000000" w:rsidRPr="00000000" w14:paraId="00000076">
            <w:pPr>
              <w:jc w:val="both"/>
              <w:rPr>
                <w:sz w:val="22"/>
                <w:szCs w:val="22"/>
              </w:rPr>
            </w:pPr>
            <w:r w:rsidDel="00000000" w:rsidR="00000000" w:rsidRPr="00000000">
              <w:rPr>
                <w:sz w:val="22"/>
                <w:szCs w:val="22"/>
                <w:rtl w:val="0"/>
              </w:rPr>
              <w:t xml:space="preserve">Desemnarea are la bază valoarea ecologică ridicată a habitatelor și speciilor de interes conservativ asociate ecosistemelor forestiere, parțial incluse în tipul funcțional 1, precum și statutul de rezervație naturală / monument al naturii.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300" w:lineRule="auto"/>
              <w:rPr>
                <w:sz w:val="22"/>
                <w:szCs w:val="22"/>
              </w:rPr>
            </w:pPr>
            <w:r w:rsidDel="00000000" w:rsidR="00000000" w:rsidRPr="00000000">
              <w:rPr>
                <w:sz w:val="22"/>
                <w:szCs w:val="22"/>
                <w:rtl w:val="0"/>
              </w:rPr>
              <w:t xml:space="preserve">Nu este cazul</w:t>
            </w:r>
          </w:p>
        </w:tc>
      </w:tr>
      <w:tr>
        <w:trPr>
          <w:cantSplit w:val="0"/>
          <w:trHeight w:val="3529"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7B">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7C">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7D">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7E">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7F">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0">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1">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2">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3">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4">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5">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6">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7">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8">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89">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8A">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B">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C">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D">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E">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F">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0">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1">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2">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3">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4">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5">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6">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7">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8">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8">
            <w:pPr>
              <w:spacing w:line="240"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9">
            <w:pPr>
              <w:spacing w:line="240"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A">
            <w:pPr>
              <w:spacing w:line="240"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B">
            <w:pPr>
              <w:spacing w:line="240"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C">
            <w:pPr>
              <w:spacing w:line="240"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D">
            <w:pPr>
              <w:spacing w:line="240"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E">
            <w:pPr>
              <w:spacing w:line="240"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F">
            <w:pPr>
              <w:spacing w:line="240"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A0">
            <w:pPr>
              <w:spacing w:line="240"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1">
            <w:pPr>
              <w:spacing w:line="240"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A2">
            <w:pPr>
              <w:spacing w:line="240"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A3">
            <w:pPr>
              <w:spacing w:line="240"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4">
            <w:pPr>
              <w:spacing w:line="240"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5">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A4">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A8">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A9">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A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AB">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AC">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A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200,03</w:t>
      </w:r>
    </w:p>
    <w:p w:rsidR="00000000" w:rsidDel="00000000" w:rsidP="00000000" w:rsidRDefault="00000000" w:rsidRPr="00000000" w14:paraId="000000AE">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AF">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B0">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B1">
      <w:pPr>
        <w:spacing w:after="0" w:before="160" w:line="300" w:lineRule="auto"/>
        <w:rPr>
          <w:sz w:val="22"/>
          <w:szCs w:val="22"/>
        </w:rPr>
      </w:pPr>
      <w:r w:rsidDel="00000000" w:rsidR="00000000" w:rsidRPr="00000000">
        <w:rPr>
          <w:sz w:val="22"/>
          <w:szCs w:val="22"/>
          <w:rtl w:val="0"/>
        </w:rPr>
        <w:t xml:space="preserve">Informația ecologică</w:t>
      </w:r>
    </w:p>
    <w:tbl>
      <w:tblPr>
        <w:tblStyle w:val="Table9"/>
        <w:tblW w:w="8964.0" w:type="dxa"/>
        <w:jc w:val="left"/>
        <w:tblInd w:w="10.0" w:type="dxa"/>
        <w:tblLayout w:type="fixed"/>
        <w:tblLook w:val="0400"/>
      </w:tblPr>
      <w:tblGrid>
        <w:gridCol w:w="2676"/>
        <w:gridCol w:w="6288"/>
        <w:tblGridChange w:id="0">
          <w:tblGrid>
            <w:gridCol w:w="2676"/>
            <w:gridCol w:w="628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0" w:line="276" w:lineRule="auto"/>
              <w:rPr>
                <w:sz w:val="22"/>
                <w:szCs w:val="22"/>
              </w:rPr>
            </w:pPr>
            <w:r w:rsidDel="00000000" w:rsidR="00000000" w:rsidRPr="00000000">
              <w:rPr>
                <w:sz w:val="22"/>
                <w:szCs w:val="22"/>
                <w:rtl w:val="0"/>
              </w:rPr>
              <w:t xml:space="preserve">Ecosistem de păduri temperate europene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spacing w:after="0" w:line="30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B8">
            <w:pPr>
              <w:spacing w:after="0" w:line="300" w:lineRule="auto"/>
              <w:rPr>
                <w:i w:val="1"/>
                <w:iCs w:val="1"/>
                <w:sz w:val="22"/>
                <w:szCs w:val="22"/>
              </w:rPr>
            </w:pPr>
            <w:r w:rsidDel="00000000" w:rsidR="00000000" w:rsidRPr="00000000">
              <w:rPr>
                <w:i w:val="1"/>
                <w:iCs w:val="1"/>
                <w:sz w:val="22"/>
                <w:szCs w:val="22"/>
                <w:rtl w:val="0"/>
              </w:rPr>
              <w:t xml:space="preserve">A238 Dendrocopos medius </w:t>
              <w:tab/>
            </w:r>
          </w:p>
          <w:p w:rsidR="00000000" w:rsidDel="00000000" w:rsidP="00000000" w:rsidRDefault="00000000" w:rsidRPr="00000000" w14:paraId="000000B9">
            <w:pPr>
              <w:spacing w:after="0" w:line="30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BA">
            <w:pPr>
              <w:spacing w:after="0" w:line="300" w:lineRule="auto"/>
              <w:rPr>
                <w:i w:val="1"/>
                <w:iCs w:val="1"/>
                <w:sz w:val="22"/>
                <w:szCs w:val="22"/>
              </w:rPr>
            </w:pPr>
            <w:r w:rsidDel="00000000" w:rsidR="00000000" w:rsidRPr="00000000">
              <w:rPr>
                <w:i w:val="1"/>
                <w:iCs w:val="1"/>
                <w:sz w:val="22"/>
                <w:szCs w:val="22"/>
                <w:rtl w:val="0"/>
              </w:rPr>
              <w:t xml:space="preserve">A321 Ficedulla albicollis</w:t>
            </w:r>
          </w:p>
          <w:p w:rsidR="00000000" w:rsidDel="00000000" w:rsidP="00000000" w:rsidRDefault="00000000" w:rsidRPr="00000000" w14:paraId="000000BB">
            <w:pPr>
              <w:spacing w:after="0" w:line="300" w:lineRule="auto"/>
              <w:rPr>
                <w:i w:val="1"/>
                <w:iCs w:val="1"/>
                <w:sz w:val="22"/>
                <w:szCs w:val="22"/>
              </w:rPr>
            </w:pPr>
            <w:r w:rsidDel="00000000" w:rsidR="00000000" w:rsidRPr="00000000">
              <w:rPr>
                <w:i w:val="1"/>
                <w:iCs w:val="1"/>
                <w:sz w:val="22"/>
                <w:szCs w:val="22"/>
                <w:rtl w:val="0"/>
              </w:rPr>
              <w:t xml:space="preserve">A246 Lululla arborea</w:t>
            </w:r>
          </w:p>
          <w:p w:rsidR="00000000" w:rsidDel="00000000" w:rsidP="00000000" w:rsidRDefault="00000000" w:rsidRPr="00000000" w14:paraId="000000BC">
            <w:pPr>
              <w:spacing w:after="0" w:line="300" w:lineRule="auto"/>
              <w:rPr>
                <w:i w:val="1"/>
                <w:iCs w:val="1"/>
                <w:sz w:val="22"/>
                <w:szCs w:val="22"/>
              </w:rPr>
            </w:pPr>
            <w:r w:rsidDel="00000000" w:rsidR="00000000" w:rsidRPr="00000000">
              <w:rPr>
                <w:i w:val="1"/>
                <w:iCs w:val="1"/>
                <w:sz w:val="22"/>
                <w:szCs w:val="22"/>
                <w:rtl w:val="0"/>
              </w:rPr>
              <w:t xml:space="preserve">A072 Pernis apivorus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Desemnarea are la bază valoarea ecologică ridicată a habitatelor și speciilor de interes conservativ asociate ecosistemelor forestiere.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spacing w:after="0" w:line="300" w:lineRule="auto"/>
              <w:rPr>
                <w:sz w:val="22"/>
                <w:szCs w:val="22"/>
              </w:rPr>
            </w:pPr>
            <w:r w:rsidDel="00000000" w:rsidR="00000000" w:rsidRPr="00000000">
              <w:rPr>
                <w:sz w:val="22"/>
                <w:szCs w:val="22"/>
                <w:rtl w:val="0"/>
              </w:rPr>
              <w:t xml:space="preserve">Nu este cazul</w:t>
            </w:r>
          </w:p>
        </w:tc>
      </w:tr>
      <w:tr>
        <w:trPr>
          <w:cantSplit w:val="0"/>
          <w:trHeight w:val="3529"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C5">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C6">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7">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C8">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C9">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CA">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CB">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CC">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CD">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CE">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CF">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D0">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D1">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D2">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D3">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D3">
            <w:pPr>
              <w:spacing w:line="240"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D4">
            <w:pPr>
              <w:spacing w:line="240"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D5">
            <w:pPr>
              <w:spacing w:line="240"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D6">
            <w:pPr>
              <w:spacing w:line="240"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D7">
            <w:pPr>
              <w:spacing w:line="240"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8">
            <w:pPr>
              <w:spacing w:line="240"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D9">
            <w:pPr>
              <w:spacing w:line="240"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A">
            <w:pPr>
              <w:spacing w:line="240"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DB">
            <w:pPr>
              <w:spacing w:line="240"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C">
            <w:pPr>
              <w:spacing w:line="240"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DD">
            <w:pPr>
              <w:spacing w:line="240"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DE">
            <w:pPr>
              <w:spacing w:line="240"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DF">
            <w:pPr>
              <w:spacing w:line="240"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E0">
            <w:pPr>
              <w:spacing w:after="0" w:line="240" w:lineRule="auto"/>
              <w:jc w:val="both"/>
              <w:rPr>
                <w:b w:val="1"/>
                <w:bCs w:val="1"/>
                <w:sz w:val="22"/>
                <w:szCs w:val="22"/>
              </w:rPr>
            </w:pPr>
            <w:r w:rsidDel="00000000" w:rsidR="00000000" w:rsidRPr="00000000">
              <w:rPr>
                <w:rtl w:val="0"/>
              </w:rPr>
            </w:r>
          </w:p>
          <w:p w:rsidR="00000000" w:rsidDel="00000000" w:rsidP="00000000" w:rsidRDefault="00000000" w:rsidRPr="00000000" w14:paraId="000000DF">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1">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E3">
      <w:pPr>
        <w:spacing w:after="80" w:before="24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0E4">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E5">
      <w:pPr>
        <w:pBdr>
          <w:top w:color="000000" w:space="0" w:sz="6" w:val="single"/>
          <w:left w:color="000000" w:space="0" w:sz="6" w:val="single"/>
          <w:bottom w:color="000000" w:space="0" w:sz="6" w:val="single"/>
          <w:right w:color="000000" w:space="0" w:sz="6" w:val="single"/>
        </w:pBdr>
        <w:spacing w:after="0" w:before="240" w:line="276" w:lineRule="auto"/>
        <w:jc w:val="both"/>
        <w:rPr>
          <w:sz w:val="22"/>
          <w:szCs w:val="22"/>
        </w:rPr>
      </w:pPr>
      <w:r w:rsidDel="00000000" w:rsidR="00000000" w:rsidRPr="00000000">
        <w:rPr>
          <w:sz w:val="22"/>
          <w:szCs w:val="22"/>
          <w:rtl w:val="0"/>
        </w:rPr>
        <w:t xml:space="preserve">MUNTEANU, Dan (coord.). Atlasul păsărilor clocitoare din România. Ed. a 2-a. Cluj-Napoca: Societatea Ornitologică Română, 2002. 151 p. (Publicațiile S.O.R., nr. 16).</w:t>
      </w:r>
    </w:p>
    <w:p w:rsidR="00000000" w:rsidDel="00000000" w:rsidP="00000000" w:rsidRDefault="00000000" w:rsidRPr="00000000" w14:paraId="000000E6">
      <w:pPr>
        <w:pBdr>
          <w:top w:color="000000" w:space="0" w:sz="6" w:val="single"/>
          <w:left w:color="000000" w:space="0" w:sz="6" w:val="single"/>
          <w:bottom w:color="000000" w:space="0" w:sz="6" w:val="single"/>
          <w:right w:color="000000" w:space="0" w:sz="6" w:val="single"/>
        </w:pBdr>
        <w:spacing w:after="0" w:before="240" w:line="276" w:lineRule="auto"/>
        <w:jc w:val="both"/>
        <w:rPr>
          <w:sz w:val="22"/>
          <w:szCs w:val="22"/>
        </w:rPr>
      </w:pPr>
      <w:r w:rsidDel="00000000" w:rsidR="00000000" w:rsidRPr="00000000">
        <w:rPr>
          <w:sz w:val="22"/>
          <w:szCs w:val="22"/>
          <w:rtl w:val="0"/>
        </w:rPr>
        <w:t xml:space="preserve">Munteanu, D. (2009).  Păsări rare, vulnerabile şi periclitate în România. Cluj-Napoca, Ed Alma Mater</w:t>
      </w:r>
    </w:p>
    <w:p w:rsidR="00000000" w:rsidDel="00000000" w:rsidP="00000000" w:rsidRDefault="00000000" w:rsidRPr="00000000" w14:paraId="000000E7">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E8">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0E9">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Consultările publice  au fost realizate la: 25 martie 2025 – Botoșani, jud. Botoșani, 24 martie 2025 – Iași, jud. Iași. Ulterior, în cadrul procesului de consultare extins la nivel național, au avut loc consultări suplimentare online în datele de 5 și 15 decembrie 2025 cu participarea factorilor interesați relevanți din județul Botoșani și în data de 17 decembrie 2025, cu participarea factorilor interesați relevanți din județul Iași.</w:t>
      </w:r>
    </w:p>
    <w:p w:rsidR="00000000" w:rsidDel="00000000" w:rsidP="00000000" w:rsidRDefault="00000000" w:rsidRPr="00000000" w14:paraId="000000EA">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B">
      <w:pPr>
        <w:jc w:val="both"/>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C">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ED">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FsYfgJPNqVXGxugh9JtnC59PG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c1T09FLTVjRFFlaTlzZXZoTHB1bHI5OWh5VlpLMkp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